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330" w:rsidRPr="00B34144" w:rsidRDefault="00FD3330" w:rsidP="00B34144">
      <w:pPr>
        <w:jc w:val="center"/>
        <w:rPr>
          <w:b/>
          <w:sz w:val="28"/>
          <w:szCs w:val="28"/>
          <w:lang w:val="kk-KZ"/>
        </w:rPr>
      </w:pPr>
      <w:r w:rsidRPr="00B34144">
        <w:rPr>
          <w:b/>
          <w:sz w:val="28"/>
          <w:szCs w:val="28"/>
        </w:rPr>
        <w:t>23</w:t>
      </w:r>
      <w:bookmarkStart w:id="0" w:name="_GoBack"/>
      <w:bookmarkEnd w:id="0"/>
      <w:r w:rsidR="00B34144" w:rsidRPr="00B34144">
        <w:rPr>
          <w:b/>
          <w:sz w:val="28"/>
          <w:szCs w:val="28"/>
          <w:lang w:val="kk-KZ"/>
        </w:rPr>
        <w:t>-ДӘ</w:t>
      </w:r>
      <w:proofErr w:type="gramStart"/>
      <w:r w:rsidR="00B34144" w:rsidRPr="00B34144">
        <w:rPr>
          <w:b/>
          <w:sz w:val="28"/>
          <w:szCs w:val="28"/>
          <w:lang w:val="kk-KZ"/>
        </w:rPr>
        <w:t>Р</w:t>
      </w:r>
      <w:proofErr w:type="gramEnd"/>
      <w:r w:rsidR="00B34144" w:rsidRPr="00B34144">
        <w:rPr>
          <w:b/>
          <w:sz w:val="28"/>
          <w:szCs w:val="28"/>
          <w:lang w:val="kk-KZ"/>
        </w:rPr>
        <w:t>ІС</w:t>
      </w:r>
    </w:p>
    <w:p w:rsidR="00FD3330" w:rsidRPr="00B34144" w:rsidRDefault="00FD3330" w:rsidP="00B34144">
      <w:pPr>
        <w:pStyle w:val="a8"/>
        <w:rPr>
          <w:sz w:val="28"/>
          <w:szCs w:val="28"/>
        </w:rPr>
      </w:pPr>
    </w:p>
    <w:p w:rsidR="00FD3330" w:rsidRPr="00B34144" w:rsidRDefault="00B34144" w:rsidP="00B34144">
      <w:pPr>
        <w:pStyle w:val="a8"/>
        <w:jc w:val="both"/>
        <w:rPr>
          <w:sz w:val="28"/>
          <w:szCs w:val="28"/>
        </w:rPr>
      </w:pPr>
      <w:r w:rsidRPr="00B34144">
        <w:rPr>
          <w:b/>
          <w:sz w:val="28"/>
          <w:szCs w:val="28"/>
          <w:lang w:val="kk-KZ"/>
        </w:rPr>
        <w:t>Тақырып</w:t>
      </w:r>
      <w:r w:rsidR="00FD3330" w:rsidRPr="00B34144">
        <w:rPr>
          <w:sz w:val="28"/>
          <w:szCs w:val="28"/>
        </w:rPr>
        <w:t xml:space="preserve">: </w:t>
      </w:r>
      <w:r w:rsidRPr="00B34144">
        <w:rPr>
          <w:b/>
          <w:sz w:val="28"/>
          <w:szCs w:val="28"/>
          <w:lang w:val="kk-KZ"/>
        </w:rPr>
        <w:t xml:space="preserve">Активті комплекс теориясының </w:t>
      </w:r>
      <w:r w:rsidRPr="00B34144">
        <w:rPr>
          <w:color w:val="222222"/>
          <w:sz w:val="28"/>
          <w:szCs w:val="28"/>
          <w:lang w:val="kk-KZ"/>
        </w:rPr>
        <w:t>теориялық және қолданбалы аспектілері</w:t>
      </w:r>
    </w:p>
    <w:p w:rsidR="00FD3330" w:rsidRPr="00B34144" w:rsidRDefault="00B34144" w:rsidP="00B34144">
      <w:pPr>
        <w:pStyle w:val="a8"/>
        <w:jc w:val="both"/>
        <w:rPr>
          <w:sz w:val="28"/>
          <w:szCs w:val="28"/>
        </w:rPr>
      </w:pPr>
      <w:r w:rsidRPr="00B34144">
        <w:rPr>
          <w:b/>
          <w:sz w:val="28"/>
          <w:szCs w:val="28"/>
          <w:lang w:val="kk-KZ"/>
        </w:rPr>
        <w:t>Мақсаты</w:t>
      </w:r>
      <w:r w:rsidR="00FD3330" w:rsidRPr="00B34144">
        <w:rPr>
          <w:sz w:val="28"/>
          <w:szCs w:val="28"/>
        </w:rPr>
        <w:t xml:space="preserve">: </w:t>
      </w:r>
      <w:r w:rsidRPr="00B34144">
        <w:rPr>
          <w:color w:val="222222"/>
          <w:sz w:val="28"/>
          <w:szCs w:val="28"/>
          <w:lang w:val="kk-KZ"/>
        </w:rPr>
        <w:t>Активтендірілген комплекс теориясының негізгі ережелерін негіздеу</w:t>
      </w:r>
      <w:r w:rsidR="00FD3330" w:rsidRPr="00B34144">
        <w:rPr>
          <w:sz w:val="28"/>
          <w:szCs w:val="28"/>
        </w:rPr>
        <w:t>.</w:t>
      </w:r>
    </w:p>
    <w:p w:rsidR="00D83CF4" w:rsidRPr="00580A44" w:rsidRDefault="00D83CF4"/>
    <w:p w:rsidR="00580A44" w:rsidRPr="00580A44" w:rsidRDefault="00580A44" w:rsidP="00580A44">
      <w:pPr>
        <w:pStyle w:val="a5"/>
        <w:numPr>
          <w:ilvl w:val="2"/>
          <w:numId w:val="2"/>
        </w:numPr>
        <w:spacing w:after="0" w:line="240" w:lineRule="auto"/>
        <w:rPr>
          <w:rFonts w:ascii="Times New Roman" w:hAnsi="Times New Roman" w:cs="Times New Roman"/>
          <w:b/>
          <w:sz w:val="24"/>
          <w:szCs w:val="24"/>
          <w:lang w:val="en-US"/>
        </w:rPr>
      </w:pPr>
      <w:r w:rsidRPr="00580A44">
        <w:rPr>
          <w:rFonts w:ascii="Times New Roman" w:hAnsi="Times New Roman" w:cs="Times New Roman"/>
          <w:b/>
          <w:sz w:val="24"/>
          <w:szCs w:val="24"/>
          <w:lang w:val="kk-KZ"/>
        </w:rPr>
        <w:t>Активті комплекс теориясының постулаттары</w:t>
      </w:r>
    </w:p>
    <w:p w:rsidR="00580A44" w:rsidRPr="00580A44" w:rsidRDefault="00580A44" w:rsidP="00580A44">
      <w:pPr>
        <w:pStyle w:val="a5"/>
        <w:spacing w:after="0" w:line="240" w:lineRule="auto"/>
        <w:ind w:left="1144"/>
        <w:rPr>
          <w:rFonts w:ascii="Times New Roman" w:hAnsi="Times New Roman" w:cs="Times New Roman"/>
          <w:b/>
          <w:sz w:val="24"/>
          <w:szCs w:val="24"/>
          <w:lang w:val="en-US"/>
        </w:rPr>
      </w:pPr>
    </w:p>
    <w:p w:rsidR="00580A44" w:rsidRPr="00580A44" w:rsidRDefault="00580A44" w:rsidP="00580A44">
      <w:pPr>
        <w:ind w:firstLine="425"/>
        <w:jc w:val="both"/>
        <w:rPr>
          <w:lang w:val="kk-KZ"/>
        </w:rPr>
      </w:pPr>
      <w:r w:rsidRPr="00580A44">
        <w:rPr>
          <w:lang w:val="kk-KZ"/>
        </w:rPr>
        <w:t xml:space="preserve">Активті комплекс теориясының математикалық теңдеулері бірнеше постулаттардың негізінде алынады. </w:t>
      </w:r>
    </w:p>
    <w:p w:rsidR="00580A44" w:rsidRPr="00580A44" w:rsidRDefault="00580A44" w:rsidP="00580A44">
      <w:pPr>
        <w:pStyle w:val="a5"/>
        <w:numPr>
          <w:ilvl w:val="0"/>
          <w:numId w:val="1"/>
        </w:numPr>
        <w:spacing w:after="0" w:line="240" w:lineRule="auto"/>
        <w:ind w:left="0" w:firstLine="425"/>
        <w:jc w:val="both"/>
        <w:rPr>
          <w:rFonts w:ascii="Times New Roman" w:hAnsi="Times New Roman" w:cs="Times New Roman"/>
          <w:sz w:val="24"/>
          <w:szCs w:val="24"/>
          <w:lang w:val="kk-KZ"/>
        </w:rPr>
      </w:pPr>
      <w:r w:rsidRPr="00580A44">
        <w:rPr>
          <w:rFonts w:ascii="Times New Roman" w:hAnsi="Times New Roman" w:cs="Times New Roman"/>
          <w:sz w:val="24"/>
          <w:szCs w:val="24"/>
          <w:lang w:val="kk-KZ"/>
        </w:rPr>
        <w:t xml:space="preserve">Реакцияға түсетін молекулалық жүйе потенциалдық энергия бетімен қозғалып Р нүктесіне жеткен соң бастапқы күйге қайта орала алмайды, сөзсіз реакция өнімінің аймағына өтеді. </w:t>
      </w:r>
    </w:p>
    <w:p w:rsidR="00580A44" w:rsidRPr="00580A44" w:rsidRDefault="00580A44" w:rsidP="00580A44">
      <w:pPr>
        <w:pStyle w:val="a5"/>
        <w:numPr>
          <w:ilvl w:val="0"/>
          <w:numId w:val="1"/>
        </w:numPr>
        <w:spacing w:after="0" w:line="240" w:lineRule="auto"/>
        <w:ind w:left="0" w:firstLine="425"/>
        <w:jc w:val="both"/>
        <w:rPr>
          <w:rFonts w:ascii="Times New Roman" w:hAnsi="Times New Roman" w:cs="Times New Roman"/>
          <w:sz w:val="24"/>
          <w:szCs w:val="24"/>
          <w:lang w:val="kk-KZ"/>
        </w:rPr>
      </w:pPr>
      <w:r w:rsidRPr="00580A44">
        <w:rPr>
          <w:rFonts w:ascii="Times New Roman" w:hAnsi="Times New Roman" w:cs="Times New Roman"/>
          <w:sz w:val="24"/>
          <w:szCs w:val="24"/>
          <w:lang w:val="kk-KZ"/>
        </w:rPr>
        <w:t xml:space="preserve">Молекулалық жүйенің потенциалдық энергия бетінде реакция жолымен Р нүктесі арқылы қозғалысы кванттық эффектілер ескерілмей тек классикалық механика заңдарымен түсіндіріледі. </w:t>
      </w:r>
    </w:p>
    <w:p w:rsidR="00580A44" w:rsidRPr="00580A44" w:rsidRDefault="00580A44" w:rsidP="00580A44">
      <w:pPr>
        <w:pStyle w:val="a5"/>
        <w:numPr>
          <w:ilvl w:val="0"/>
          <w:numId w:val="1"/>
        </w:numPr>
        <w:spacing w:after="0" w:line="240" w:lineRule="auto"/>
        <w:ind w:left="0" w:firstLine="425"/>
        <w:jc w:val="both"/>
        <w:rPr>
          <w:rFonts w:ascii="Times New Roman" w:hAnsi="Times New Roman" w:cs="Times New Roman"/>
          <w:sz w:val="24"/>
          <w:szCs w:val="24"/>
          <w:lang w:val="kk-KZ"/>
        </w:rPr>
      </w:pPr>
      <w:r w:rsidRPr="00580A44">
        <w:rPr>
          <w:rFonts w:ascii="Times New Roman" w:hAnsi="Times New Roman" w:cs="Times New Roman"/>
          <w:sz w:val="24"/>
          <w:szCs w:val="24"/>
          <w:lang w:val="kk-KZ"/>
        </w:rPr>
        <w:t>Молекулалық жүйе потенциалдық энергия бетімен адиабатты және потенциалдық энергияның басқа бетіне өтпей қозғалады.</w:t>
      </w:r>
    </w:p>
    <w:p w:rsidR="00580A44" w:rsidRPr="00580A44" w:rsidRDefault="00580A44" w:rsidP="00580A44">
      <w:pPr>
        <w:pStyle w:val="a5"/>
        <w:numPr>
          <w:ilvl w:val="0"/>
          <w:numId w:val="1"/>
        </w:numPr>
        <w:spacing w:after="0" w:line="240" w:lineRule="auto"/>
        <w:ind w:left="0" w:firstLine="425"/>
        <w:jc w:val="both"/>
        <w:rPr>
          <w:rFonts w:ascii="Times New Roman" w:hAnsi="Times New Roman" w:cs="Times New Roman"/>
          <w:sz w:val="24"/>
          <w:szCs w:val="24"/>
          <w:lang w:val="kk-KZ"/>
        </w:rPr>
      </w:pPr>
      <w:r w:rsidRPr="00580A44">
        <w:rPr>
          <w:rFonts w:ascii="Times New Roman" w:hAnsi="Times New Roman" w:cs="Times New Roman"/>
          <w:sz w:val="24"/>
          <w:szCs w:val="24"/>
          <w:lang w:val="kk-KZ"/>
        </w:rPr>
        <w:t xml:space="preserve">Химиядық реакция әрекеттесуші молекулалардың энергия бойынша тепе-теңдік таралуы бұзылмаған жағдайда өтеді, сондықтан активті комплекстің концентрациясы комплекс пен бастапқы заттар арасындағы тепе-теңдіктің термодинамикалық константасы арқылы бейнеленеді. </w:t>
      </w:r>
    </w:p>
    <w:p w:rsidR="00580A44" w:rsidRPr="00580A44" w:rsidRDefault="00580A44" w:rsidP="00580A44">
      <w:pPr>
        <w:pStyle w:val="a6"/>
        <w:ind w:left="0" w:firstLine="426"/>
        <w:rPr>
          <w:sz w:val="24"/>
          <w:szCs w:val="24"/>
          <w:lang w:val="kk-KZ"/>
        </w:rPr>
      </w:pPr>
      <w:r w:rsidRPr="00580A44">
        <w:rPr>
          <w:sz w:val="24"/>
          <w:szCs w:val="24"/>
          <w:lang w:val="kk-KZ"/>
        </w:rPr>
        <w:t xml:space="preserve">Химиялық реакцияның жылдамдығы аралық күй теориясы бойынша, активті комплекстің потенциалдық тосқауылдан өту жылдамдығымен анықталады. Реакция жылдамдығы активті комплекстің концентрациясына пропорционал, басқа сөзбен айтқанда, активті комплекстің уақыт және көлем бірлігінде потенциалдық тосқауыл шыңынан өткен санына тура пропорционал, ал комплекстің өмір сүру уақытына кері пропорционал: </w:t>
      </w:r>
    </w:p>
    <w:p w:rsidR="00580A44" w:rsidRPr="00580A44" w:rsidRDefault="00580A44" w:rsidP="00580A44">
      <w:pPr>
        <w:ind w:firstLine="425"/>
        <w:jc w:val="both"/>
        <w:rPr>
          <w:lang w:val="kk-KZ"/>
        </w:rPr>
      </w:pPr>
      <w:r w:rsidRPr="00580A44">
        <w:rPr>
          <w:position w:val="-24"/>
        </w:rPr>
        <w:object w:dxaOrig="12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7pt;height:33.3pt" o:ole="">
            <v:imagedata r:id="rId5" o:title=""/>
          </v:shape>
          <o:OLEObject Type="Embed" ProgID="Equation.3" ShapeID="_x0000_i1025" DrawAspect="Content" ObjectID="_1630672715" r:id="rId6"/>
        </w:object>
      </w:r>
      <w:r w:rsidRPr="00580A44">
        <w:rPr>
          <w:lang w:val="kk-KZ"/>
        </w:rPr>
        <w:t xml:space="preserve">                                               (3.17)</w:t>
      </w:r>
    </w:p>
    <w:p w:rsidR="00580A44" w:rsidRPr="00580A44" w:rsidRDefault="00580A44" w:rsidP="00580A44">
      <w:pPr>
        <w:ind w:firstLine="425"/>
        <w:jc w:val="both"/>
        <w:rPr>
          <w:lang w:val="kk-KZ"/>
        </w:rPr>
      </w:pPr>
      <w:r w:rsidRPr="00580A44">
        <w:rPr>
          <w:lang w:val="kk-KZ"/>
        </w:rPr>
        <w:t xml:space="preserve">  Химиялық реакцияның теңдеуін жалпы түрде былай жазайық: </w:t>
      </w:r>
    </w:p>
    <w:p w:rsidR="00580A44" w:rsidRPr="00580A44" w:rsidRDefault="00580A44" w:rsidP="00580A44">
      <w:pPr>
        <w:ind w:firstLine="425"/>
        <w:jc w:val="both"/>
      </w:pPr>
      <w:r w:rsidRPr="00580A44">
        <w:t xml:space="preserve">А+В </w:t>
      </w:r>
      <w:r w:rsidRPr="00580A44">
        <w:rPr>
          <w:position w:val="-22"/>
        </w:rPr>
        <w:object w:dxaOrig="320" w:dyaOrig="620">
          <v:shape id="_x0000_i1026" type="#_x0000_t75" style="width:15.75pt;height:30.85pt" o:ole="">
            <v:imagedata r:id="rId7" o:title=""/>
          </v:shape>
          <o:OLEObject Type="Embed" ProgID="Equation.3" ShapeID="_x0000_i1026" DrawAspect="Content" ObjectID="_1630672716" r:id="rId8"/>
        </w:object>
      </w:r>
      <w:r w:rsidRPr="00580A44">
        <w:rPr>
          <w:lang w:val="en-US"/>
        </w:rPr>
        <w:t>D</w:t>
      </w:r>
      <w:proofErr w:type="gramStart"/>
      <w:r w:rsidRPr="00580A44">
        <w:t>+Е</w:t>
      </w:r>
      <w:proofErr w:type="gramEnd"/>
      <w:r w:rsidRPr="00580A44">
        <w:t xml:space="preserve">   или  А+В </w:t>
      </w:r>
      <w:r w:rsidRPr="00580A44">
        <w:rPr>
          <w:position w:val="-22"/>
        </w:rPr>
        <w:object w:dxaOrig="320" w:dyaOrig="620">
          <v:shape id="_x0000_i1027" type="#_x0000_t75" style="width:15.75pt;height:30.85pt" o:ole="">
            <v:imagedata r:id="rId9" o:title=""/>
          </v:shape>
          <o:OLEObject Type="Embed" ProgID="Equation.3" ShapeID="_x0000_i1027" DrawAspect="Content" ObjectID="_1630672717" r:id="rId10"/>
        </w:object>
      </w:r>
      <w:r w:rsidRPr="00580A44">
        <w:t xml:space="preserve"> АВ</w:t>
      </w:r>
      <w:r w:rsidRPr="00580A44">
        <w:rPr>
          <w:vertAlign w:val="superscript"/>
        </w:rPr>
        <w:t>*</w:t>
      </w:r>
      <w:r w:rsidRPr="00580A44">
        <w:rPr>
          <w:position w:val="-6"/>
        </w:rPr>
        <w:object w:dxaOrig="300" w:dyaOrig="220">
          <v:shape id="_x0000_i1028" type="#_x0000_t75" style="width:15.15pt;height:12.1pt" o:ole="">
            <v:imagedata r:id="rId11" o:title=""/>
          </v:shape>
          <o:OLEObject Type="Embed" ProgID="Equation.3" ShapeID="_x0000_i1028" DrawAspect="Content" ObjectID="_1630672718" r:id="rId12"/>
        </w:object>
      </w:r>
      <w:r w:rsidRPr="00580A44">
        <w:rPr>
          <w:lang w:val="en-US"/>
        </w:rPr>
        <w:t>D</w:t>
      </w:r>
      <w:r w:rsidRPr="00580A44">
        <w:t xml:space="preserve">+Е                            (3.18)                                                                       </w:t>
      </w:r>
    </w:p>
    <w:p w:rsidR="00580A44" w:rsidRPr="00580A44" w:rsidRDefault="00580A44" w:rsidP="00580A44">
      <w:pPr>
        <w:ind w:firstLine="425"/>
        <w:jc w:val="both"/>
      </w:pPr>
      <w:r w:rsidRPr="00580A44">
        <w:rPr>
          <w:lang w:val="en-US"/>
        </w:rPr>
        <w:t>III</w:t>
      </w:r>
    </w:p>
    <w:p w:rsidR="00580A44" w:rsidRPr="00580A44" w:rsidRDefault="00580A44" w:rsidP="00580A44">
      <w:pPr>
        <w:jc w:val="both"/>
      </w:pPr>
      <w:r w:rsidRPr="00580A44">
        <w:rPr>
          <w:lang w:val="kk-KZ"/>
        </w:rPr>
        <w:t>мұндағы</w:t>
      </w:r>
      <w:r w:rsidRPr="00580A44">
        <w:t xml:space="preserve"> [</w:t>
      </w:r>
      <w:r w:rsidRPr="00580A44">
        <w:rPr>
          <w:lang w:val="en-US"/>
        </w:rPr>
        <w:t>AB</w:t>
      </w:r>
      <w:r w:rsidRPr="00580A44">
        <w:rPr>
          <w:vertAlign w:val="superscript"/>
        </w:rPr>
        <w:t>*</w:t>
      </w:r>
      <w:r w:rsidRPr="00580A44">
        <w:t>] - актив</w:t>
      </w:r>
      <w:r w:rsidRPr="00580A44">
        <w:rPr>
          <w:lang w:val="kk-KZ"/>
        </w:rPr>
        <w:t>ті</w:t>
      </w:r>
      <w:r w:rsidRPr="00580A44">
        <w:t xml:space="preserve"> комплекс</w:t>
      </w:r>
      <w:r w:rsidRPr="00580A44">
        <w:rPr>
          <w:lang w:val="kk-KZ"/>
        </w:rPr>
        <w:t>тің</w:t>
      </w:r>
      <w:r w:rsidRPr="00580A44">
        <w:t xml:space="preserve"> концентрация</w:t>
      </w:r>
      <w:r w:rsidRPr="00580A44">
        <w:rPr>
          <w:lang w:val="kk-KZ"/>
        </w:rPr>
        <w:t>сы</w:t>
      </w:r>
      <w:r w:rsidRPr="00580A44">
        <w:t>; К</w:t>
      </w:r>
      <w:r w:rsidRPr="00580A44">
        <w:rPr>
          <w:vertAlign w:val="subscript"/>
        </w:rPr>
        <w:t>1</w:t>
      </w:r>
      <w:r w:rsidRPr="00580A44">
        <w:t xml:space="preserve"> и К</w:t>
      </w:r>
      <w:r w:rsidRPr="00580A44">
        <w:rPr>
          <w:vertAlign w:val="subscript"/>
        </w:rPr>
        <w:t>-1</w:t>
      </w:r>
      <w:r w:rsidRPr="00580A44">
        <w:t xml:space="preserve">– </w:t>
      </w:r>
      <w:r w:rsidRPr="00580A44">
        <w:rPr>
          <w:lang w:val="kk-KZ"/>
        </w:rPr>
        <w:t xml:space="preserve">тура және кері реакцияның жылдамдық </w:t>
      </w:r>
      <w:r w:rsidRPr="00580A44">
        <w:t>констант</w:t>
      </w:r>
      <w:r w:rsidRPr="00580A44">
        <w:rPr>
          <w:lang w:val="kk-KZ"/>
        </w:rPr>
        <w:t>алар</w:t>
      </w:r>
      <w:r w:rsidRPr="00580A44">
        <w:t>ы.</w:t>
      </w:r>
    </w:p>
    <w:p w:rsidR="00580A44" w:rsidRPr="00580A44" w:rsidRDefault="00580A44" w:rsidP="00580A44">
      <w:pPr>
        <w:ind w:firstLine="425"/>
        <w:jc w:val="both"/>
        <w:rPr>
          <w:lang w:val="kk-KZ"/>
        </w:rPr>
      </w:pPr>
      <w:r w:rsidRPr="00580A44">
        <w:rPr>
          <w:lang w:val="kk-KZ"/>
        </w:rPr>
        <w:t xml:space="preserve">Элементар сатылардың тәуелсіздік принципі бойынша, сатылардың әрқайсысына формальды кинетиканың заңдарын қолдануға болады, және бастапқы реагенттер мен активті комплекс арасында квазитепе-теңдік орнайды </w:t>
      </w:r>
      <w:r w:rsidRPr="00580A44">
        <w:t>(</w:t>
      </w:r>
      <w:r w:rsidRPr="00580A44">
        <w:rPr>
          <w:lang w:val="kk-KZ"/>
        </w:rPr>
        <w:t xml:space="preserve">теңдеу 2, саты </w:t>
      </w:r>
      <w:r w:rsidRPr="00580A44">
        <w:rPr>
          <w:lang w:val="en-US"/>
        </w:rPr>
        <w:t>I</w:t>
      </w:r>
      <w:r w:rsidRPr="00580A44">
        <w:t xml:space="preserve">). </w:t>
      </w:r>
      <w:r w:rsidRPr="00580A44">
        <w:rPr>
          <w:lang w:val="kk-KZ"/>
        </w:rPr>
        <w:t xml:space="preserve">Реакцияның І – сатысындағы тура және кері реакцияның жылдамдықтары жоғары, сондықтан реакцияның жалпы жылдамдығы ІІ-ші сатының жылдамдығымен анықталады. Реакцияның жалпы жылдамдығын былай жазамыз: </w:t>
      </w:r>
    </w:p>
    <w:p w:rsidR="00580A44" w:rsidRPr="00580A44" w:rsidRDefault="00580A44" w:rsidP="00580A44">
      <w:pPr>
        <w:ind w:firstLine="425"/>
        <w:jc w:val="both"/>
        <w:rPr>
          <w:lang w:val="kk-KZ"/>
        </w:rPr>
      </w:pPr>
    </w:p>
    <w:p w:rsidR="00580A44" w:rsidRPr="00580A44" w:rsidRDefault="00580A44" w:rsidP="00580A44">
      <w:pPr>
        <w:ind w:firstLine="425"/>
        <w:jc w:val="both"/>
        <w:rPr>
          <w:lang w:val="kk-KZ"/>
        </w:rPr>
      </w:pPr>
      <w:r w:rsidRPr="00580A44">
        <w:rPr>
          <w:position w:val="-24"/>
        </w:rPr>
        <w:object w:dxaOrig="2980" w:dyaOrig="660">
          <v:shape id="_x0000_i1029" type="#_x0000_t75" style="width:149.45pt;height:33.3pt" o:ole="">
            <v:imagedata r:id="rId13" o:title=""/>
          </v:shape>
          <o:OLEObject Type="Embed" ProgID="Equation.3" ShapeID="_x0000_i1029" DrawAspect="Content" ObjectID="_1630672719" r:id="rId14"/>
        </w:object>
      </w:r>
      <w:r w:rsidRPr="00580A44">
        <w:rPr>
          <w:lang w:val="kk-KZ"/>
        </w:rPr>
        <w:t xml:space="preserve">                                              (3.19)</w:t>
      </w:r>
    </w:p>
    <w:p w:rsidR="00580A44" w:rsidRPr="00580A44" w:rsidRDefault="00580A44" w:rsidP="00580A44">
      <w:pPr>
        <w:ind w:firstLine="425"/>
        <w:jc w:val="both"/>
        <w:rPr>
          <w:lang w:val="kk-KZ"/>
        </w:rPr>
      </w:pPr>
      <w:r w:rsidRPr="00580A44">
        <w:rPr>
          <w:lang w:val="kk-KZ"/>
        </w:rPr>
        <w:t xml:space="preserve">Тепе-теңдік орнағанда тура реакцияның жылдамдығы кері реакцияныкіне теңеседі: </w:t>
      </w:r>
    </w:p>
    <w:p w:rsidR="00580A44" w:rsidRPr="00580A44" w:rsidRDefault="00580A44" w:rsidP="00580A44">
      <w:pPr>
        <w:ind w:firstLine="425"/>
        <w:jc w:val="both"/>
      </w:pPr>
      <w:r w:rsidRPr="00580A44">
        <w:rPr>
          <w:position w:val="-10"/>
        </w:rPr>
        <w:object w:dxaOrig="1980" w:dyaOrig="360">
          <v:shape id="_x0000_i1030" type="#_x0000_t75" style="width:98.6pt;height:19.35pt" o:ole="">
            <v:imagedata r:id="rId15" o:title=""/>
          </v:shape>
          <o:OLEObject Type="Embed" ProgID="Equation.3" ShapeID="_x0000_i1030" DrawAspect="Content" ObjectID="_1630672720" r:id="rId16"/>
        </w:object>
      </w:r>
      <w:r w:rsidRPr="00580A44">
        <w:rPr>
          <w:lang w:val="kk-KZ"/>
        </w:rPr>
        <w:t>немесе</w:t>
      </w:r>
      <w:r w:rsidRPr="00580A44">
        <w:rPr>
          <w:position w:val="-30"/>
        </w:rPr>
        <w:object w:dxaOrig="1980" w:dyaOrig="720">
          <v:shape id="_x0000_i1031" type="#_x0000_t75" style="width:98.6pt;height:36.3pt" o:ole="">
            <v:imagedata r:id="rId17" o:title=""/>
          </v:shape>
          <o:OLEObject Type="Embed" ProgID="Equation.3" ShapeID="_x0000_i1031" DrawAspect="Content" ObjectID="_1630672721" r:id="rId18"/>
        </w:object>
      </w:r>
      <w:r w:rsidRPr="00580A44">
        <w:t xml:space="preserve">                   (3.20),</w:t>
      </w:r>
    </w:p>
    <w:p w:rsidR="00580A44" w:rsidRPr="00580A44" w:rsidRDefault="00580A44" w:rsidP="00580A44">
      <w:pPr>
        <w:jc w:val="both"/>
        <w:rPr>
          <w:lang w:val="kk-KZ"/>
        </w:rPr>
      </w:pPr>
      <w:r w:rsidRPr="00580A44">
        <w:rPr>
          <w:lang w:val="kk-KZ"/>
        </w:rPr>
        <w:lastRenderedPageBreak/>
        <w:t>мұнда</w:t>
      </w:r>
      <w:r w:rsidRPr="00580A44">
        <w:t xml:space="preserve"> К</w:t>
      </w:r>
      <w:r w:rsidRPr="00580A44">
        <w:rPr>
          <w:vertAlign w:val="superscript"/>
        </w:rPr>
        <w:t>*</w:t>
      </w:r>
      <w:r w:rsidRPr="00580A44">
        <w:t xml:space="preserve"> - актив</w:t>
      </w:r>
      <w:r w:rsidRPr="00580A44">
        <w:rPr>
          <w:lang w:val="kk-KZ"/>
        </w:rPr>
        <w:t>ті</w:t>
      </w:r>
      <w:r w:rsidRPr="00580A44">
        <w:t xml:space="preserve"> комплекс</w:t>
      </w:r>
      <w:r w:rsidRPr="00580A44">
        <w:rPr>
          <w:lang w:val="kk-KZ"/>
        </w:rPr>
        <w:t xml:space="preserve"> түзілу реакциясының тепе-теңдік </w:t>
      </w:r>
      <w:r w:rsidRPr="00580A44">
        <w:t>константа</w:t>
      </w:r>
      <w:r w:rsidRPr="00580A44">
        <w:rPr>
          <w:lang w:val="kk-KZ"/>
        </w:rPr>
        <w:t xml:space="preserve">сы. Ал (3.20)-теңдеу бойынша  </w:t>
      </w:r>
    </w:p>
    <w:p w:rsidR="00580A44" w:rsidRPr="00580A44" w:rsidRDefault="00580A44" w:rsidP="00580A44">
      <w:pPr>
        <w:ind w:firstLine="425"/>
        <w:jc w:val="both"/>
        <w:rPr>
          <w:lang w:val="kk-KZ"/>
        </w:rPr>
      </w:pPr>
      <w:r w:rsidRPr="00580A44">
        <w:rPr>
          <w:position w:val="-10"/>
        </w:rPr>
        <w:object w:dxaOrig="1199" w:dyaOrig="360">
          <v:shape id="_x0000_i1032" type="#_x0000_t75" style="width:59.9pt;height:19.35pt" o:ole="">
            <v:imagedata r:id="rId19" o:title=""/>
          </v:shape>
          <o:OLEObject Type="Embed" ProgID="Equation.3" ShapeID="_x0000_i1032" DrawAspect="Content" ObjectID="_1630672722" r:id="rId20"/>
        </w:object>
      </w:r>
      <w:r w:rsidRPr="00580A44">
        <w:rPr>
          <w:lang w:val="kk-KZ"/>
        </w:rPr>
        <w:t xml:space="preserve">                                                       (3.21)</w:t>
      </w:r>
    </w:p>
    <w:p w:rsidR="00580A44" w:rsidRPr="00580A44" w:rsidRDefault="00580A44" w:rsidP="00580A44">
      <w:pPr>
        <w:pStyle w:val="a6"/>
        <w:ind w:left="0" w:firstLine="425"/>
        <w:rPr>
          <w:sz w:val="24"/>
          <w:szCs w:val="24"/>
          <w:lang w:val="kk-KZ"/>
        </w:rPr>
      </w:pPr>
      <w:r w:rsidRPr="00580A44">
        <w:rPr>
          <w:sz w:val="24"/>
          <w:szCs w:val="24"/>
          <w:lang w:val="kk-KZ"/>
        </w:rPr>
        <w:t>Түзілген активті комплекс [AB</w:t>
      </w:r>
      <w:r w:rsidRPr="00580A44">
        <w:rPr>
          <w:sz w:val="24"/>
          <w:szCs w:val="24"/>
          <w:vertAlign w:val="superscript"/>
          <w:lang w:val="kk-KZ"/>
        </w:rPr>
        <w:t>*</w:t>
      </w:r>
      <w:r w:rsidRPr="00580A44">
        <w:rPr>
          <w:sz w:val="24"/>
          <w:szCs w:val="24"/>
          <w:lang w:val="kk-KZ"/>
        </w:rPr>
        <w:t xml:space="preserve">] реакция өніміне айналған кезде активті комплекстің ыдырау бағытына қарай ескі байланыстар </w:t>
      </w:r>
      <w:r w:rsidRPr="00580A44">
        <w:rPr>
          <w:sz w:val="24"/>
          <w:szCs w:val="24"/>
        </w:rPr>
        <w:sym w:font="Symbol" w:char="006E"/>
      </w:r>
      <w:r w:rsidRPr="00580A44">
        <w:rPr>
          <w:sz w:val="24"/>
          <w:szCs w:val="24"/>
          <w:lang w:val="kk-KZ"/>
        </w:rPr>
        <w:t>-тербеліс жиілікпен бұзылады. Тербеліс жиілігі активті комплекстің ыдырау жылдамдығының константасына (К</w:t>
      </w:r>
      <w:r w:rsidRPr="00580A44">
        <w:rPr>
          <w:sz w:val="24"/>
          <w:szCs w:val="24"/>
          <w:vertAlign w:val="subscript"/>
          <w:lang w:val="kk-KZ"/>
        </w:rPr>
        <w:t>-1</w:t>
      </w:r>
      <w:r w:rsidRPr="00580A44">
        <w:rPr>
          <w:sz w:val="24"/>
          <w:szCs w:val="24"/>
          <w:lang w:val="kk-KZ"/>
        </w:rPr>
        <w:t xml:space="preserve">) сай. Олай болса </w:t>
      </w:r>
      <w:r w:rsidRPr="00580A44">
        <w:rPr>
          <w:position w:val="-6"/>
          <w:sz w:val="24"/>
          <w:szCs w:val="24"/>
        </w:rPr>
        <w:object w:dxaOrig="899" w:dyaOrig="280">
          <v:shape id="_x0000_i1033" type="#_x0000_t75" style="width:45.4pt;height:13.9pt" o:ole="">
            <v:imagedata r:id="rId21" o:title=""/>
          </v:shape>
          <o:OLEObject Type="Embed" ProgID="Equation.3" ShapeID="_x0000_i1033" DrawAspect="Content" ObjectID="_1630672723" r:id="rId22"/>
        </w:object>
      </w:r>
      <w:r w:rsidRPr="00580A44">
        <w:rPr>
          <w:sz w:val="24"/>
          <w:szCs w:val="24"/>
          <w:lang w:val="kk-KZ"/>
        </w:rPr>
        <w:t>, (h –Планк тұрақтысы, k – Больцман тұрақтысы) теңдеуінен AB</w:t>
      </w:r>
      <w:r w:rsidRPr="00580A44">
        <w:rPr>
          <w:sz w:val="24"/>
          <w:szCs w:val="24"/>
          <w:vertAlign w:val="superscript"/>
          <w:lang w:val="kk-KZ"/>
        </w:rPr>
        <w:t>*</w:t>
      </w:r>
      <w:r w:rsidRPr="00580A44">
        <w:rPr>
          <w:sz w:val="24"/>
          <w:szCs w:val="24"/>
          <w:lang w:val="kk-KZ"/>
        </w:rPr>
        <w:t xml:space="preserve">-ның  ыдырау жылдамдық константасын аламыз: </w:t>
      </w:r>
    </w:p>
    <w:p w:rsidR="00580A44" w:rsidRPr="00580A44" w:rsidRDefault="00580A44" w:rsidP="00580A44">
      <w:pPr>
        <w:pStyle w:val="a6"/>
        <w:ind w:left="0" w:firstLine="425"/>
        <w:rPr>
          <w:sz w:val="24"/>
          <w:szCs w:val="24"/>
          <w:lang w:val="kk-KZ"/>
        </w:rPr>
      </w:pPr>
      <w:r w:rsidRPr="00580A44">
        <w:rPr>
          <w:position w:val="-28"/>
          <w:sz w:val="24"/>
          <w:szCs w:val="24"/>
        </w:rPr>
        <w:object w:dxaOrig="1600" w:dyaOrig="720">
          <v:shape id="_x0000_i1034" type="#_x0000_t75" style="width:79.25pt;height:36.3pt" o:ole="">
            <v:imagedata r:id="rId23" o:title=""/>
          </v:shape>
          <o:OLEObject Type="Embed" ProgID="Equation.DSMT4" ShapeID="_x0000_i1034" DrawAspect="Content" ObjectID="_1630672724" r:id="rId24"/>
        </w:object>
      </w:r>
      <w:r w:rsidRPr="00580A44">
        <w:rPr>
          <w:sz w:val="24"/>
          <w:szCs w:val="24"/>
          <w:lang w:val="kk-KZ"/>
        </w:rPr>
        <w:t xml:space="preserve">                                        (3.22),</w:t>
      </w:r>
    </w:p>
    <w:p w:rsidR="00580A44" w:rsidRPr="00580A44" w:rsidRDefault="00580A44" w:rsidP="00580A44">
      <w:pPr>
        <w:pStyle w:val="a6"/>
        <w:ind w:left="0" w:firstLine="425"/>
        <w:rPr>
          <w:sz w:val="24"/>
          <w:szCs w:val="24"/>
          <w:lang w:val="kk-KZ"/>
        </w:rPr>
      </w:pPr>
      <w:r w:rsidRPr="00580A44">
        <w:rPr>
          <w:sz w:val="24"/>
          <w:szCs w:val="24"/>
          <w:lang w:val="kk-KZ"/>
        </w:rPr>
        <w:t xml:space="preserve">Константаның өлшемі тербеліс жиілігінің өлшеміндей. Енді (5)-теңдеуді (3.22)-теңдеуді ескеріп былай жазуға болады: </w:t>
      </w:r>
    </w:p>
    <w:p w:rsidR="00580A44" w:rsidRPr="00580A44" w:rsidRDefault="00580A44" w:rsidP="00580A44">
      <w:pPr>
        <w:pStyle w:val="a6"/>
        <w:ind w:left="0" w:firstLine="425"/>
        <w:jc w:val="center"/>
        <w:rPr>
          <w:sz w:val="24"/>
          <w:szCs w:val="24"/>
          <w:lang w:val="kk-KZ"/>
        </w:rPr>
      </w:pPr>
      <w:r w:rsidRPr="00580A44">
        <w:rPr>
          <w:position w:val="-28"/>
          <w:sz w:val="24"/>
          <w:szCs w:val="24"/>
        </w:rPr>
        <w:object w:dxaOrig="1560" w:dyaOrig="720">
          <v:shape id="_x0000_i1035" type="#_x0000_t75" style="width:79.25pt;height:36.3pt" o:ole="">
            <v:imagedata r:id="rId25" o:title=""/>
          </v:shape>
          <o:OLEObject Type="Embed" ProgID="Equation.DSMT4" ShapeID="_x0000_i1035" DrawAspect="Content" ObjectID="_1630672725" r:id="rId26"/>
        </w:object>
      </w:r>
      <w:r w:rsidRPr="00580A44">
        <w:rPr>
          <w:sz w:val="24"/>
          <w:szCs w:val="24"/>
          <w:lang w:val="kk-KZ"/>
        </w:rPr>
        <w:t>.                                    (3.23)</w:t>
      </w:r>
    </w:p>
    <w:p w:rsidR="00580A44" w:rsidRPr="00580A44" w:rsidRDefault="00580A44" w:rsidP="00580A44">
      <w:pPr>
        <w:pStyle w:val="a3"/>
        <w:ind w:firstLine="425"/>
        <w:rPr>
          <w:sz w:val="24"/>
          <w:szCs w:val="24"/>
          <w:lang w:val="kk-KZ"/>
        </w:rPr>
      </w:pPr>
      <w:r w:rsidRPr="00580A44">
        <w:rPr>
          <w:sz w:val="24"/>
          <w:szCs w:val="24"/>
          <w:lang w:val="kk-KZ"/>
        </w:rPr>
        <w:t xml:space="preserve">Бұл (3.23)-теңдеу активті комплекс теориясының </w:t>
      </w:r>
      <w:r w:rsidRPr="00580A44">
        <w:rPr>
          <w:i/>
          <w:sz w:val="24"/>
          <w:szCs w:val="24"/>
          <w:lang w:val="kk-KZ"/>
        </w:rPr>
        <w:t xml:space="preserve">негізгі теңдеуі </w:t>
      </w:r>
      <w:r w:rsidRPr="00580A44">
        <w:rPr>
          <w:sz w:val="24"/>
          <w:szCs w:val="24"/>
          <w:lang w:val="kk-KZ"/>
        </w:rPr>
        <w:t xml:space="preserve">деп аталады. </w:t>
      </w:r>
      <w:r w:rsidRPr="00580A44">
        <w:rPr>
          <w:i/>
          <w:sz w:val="24"/>
          <w:szCs w:val="24"/>
          <w:lang w:val="kk-KZ"/>
        </w:rPr>
        <w:t>Адиабатты жағдай</w:t>
      </w:r>
      <w:r w:rsidRPr="00580A44">
        <w:rPr>
          <w:sz w:val="24"/>
          <w:szCs w:val="24"/>
          <w:lang w:val="kk-KZ"/>
        </w:rPr>
        <w:t xml:space="preserve"> деп химиялық реакция электрондар бір күйден екінші бір күйге ауыспайтын жағдайда жүретінін айтады. Электрондық күйдің тұрақты жағдайында ғана жүйенің потенциалдық энергиясы ядролар координаттарының функциясы болады.  </w:t>
      </w:r>
    </w:p>
    <w:p w:rsidR="00580A44" w:rsidRPr="00580A44" w:rsidRDefault="00580A44" w:rsidP="00580A44">
      <w:pPr>
        <w:pStyle w:val="a3"/>
        <w:ind w:firstLine="425"/>
        <w:jc w:val="left"/>
        <w:rPr>
          <w:i/>
          <w:sz w:val="24"/>
          <w:szCs w:val="24"/>
          <w:lang w:val="kk-KZ"/>
        </w:rPr>
      </w:pPr>
    </w:p>
    <w:p w:rsidR="00580A44" w:rsidRPr="00580A44" w:rsidRDefault="00580A44" w:rsidP="00580A44">
      <w:pPr>
        <w:pStyle w:val="a3"/>
        <w:ind w:firstLine="425"/>
        <w:jc w:val="left"/>
        <w:rPr>
          <w:i/>
          <w:sz w:val="24"/>
          <w:szCs w:val="24"/>
          <w:lang w:val="kk-KZ"/>
        </w:rPr>
      </w:pPr>
      <w:r w:rsidRPr="00580A44">
        <w:rPr>
          <w:i/>
          <w:sz w:val="24"/>
          <w:szCs w:val="24"/>
          <w:lang w:val="kk-KZ"/>
        </w:rPr>
        <w:t>Абсолюттік жылдамдықтар теориясының негізгі мақсаттары.</w:t>
      </w:r>
    </w:p>
    <w:p w:rsidR="00580A44" w:rsidRPr="00580A44" w:rsidRDefault="00580A44" w:rsidP="00580A44">
      <w:pPr>
        <w:pStyle w:val="a3"/>
        <w:ind w:firstLine="425"/>
        <w:rPr>
          <w:b/>
          <w:bCs/>
          <w:sz w:val="24"/>
          <w:szCs w:val="24"/>
          <w:lang w:val="kk-KZ"/>
        </w:rPr>
      </w:pPr>
      <w:r w:rsidRPr="00580A44">
        <w:rPr>
          <w:sz w:val="24"/>
          <w:szCs w:val="24"/>
          <w:lang w:val="kk-KZ"/>
        </w:rPr>
        <w:t>Реакцияның абсолюттік жылдамдығын анықтау үшін алдымен екі мақсат орындалуы қажет, біріншісі активтену энергиясын табу, екіншісі жиілік факторды (А</w:t>
      </w:r>
      <w:r w:rsidRPr="00580A44">
        <w:rPr>
          <w:sz w:val="24"/>
          <w:szCs w:val="24"/>
          <w:vertAlign w:val="subscript"/>
          <w:lang w:val="kk-KZ"/>
        </w:rPr>
        <w:t>0</w:t>
      </w:r>
      <w:r w:rsidRPr="00580A44">
        <w:rPr>
          <w:sz w:val="24"/>
          <w:szCs w:val="24"/>
          <w:lang w:val="kk-KZ"/>
        </w:rPr>
        <w:t xml:space="preserve">) табу. Бірінші мақсаттың орындалуы үшін потенциалдық энергия бетін анықтау қажет, бұл кванттық механика негізінде орындалады. Екінші мақсаттың орындалуы статистикалық термодинамика әдістерін қолдануға негізделген. </w:t>
      </w:r>
    </w:p>
    <w:p w:rsidR="00580A44" w:rsidRPr="00580A44" w:rsidRDefault="00580A44" w:rsidP="00580A44">
      <w:pPr>
        <w:pStyle w:val="a3"/>
        <w:ind w:firstLine="425"/>
        <w:jc w:val="left"/>
        <w:rPr>
          <w:b/>
          <w:bCs/>
          <w:i/>
          <w:sz w:val="24"/>
          <w:szCs w:val="24"/>
          <w:lang w:val="kk-KZ"/>
        </w:rPr>
      </w:pPr>
    </w:p>
    <w:p w:rsidR="00580A44" w:rsidRPr="00580A44" w:rsidRDefault="00580A44" w:rsidP="00580A44">
      <w:pPr>
        <w:pStyle w:val="a3"/>
        <w:ind w:firstLine="425"/>
        <w:jc w:val="left"/>
        <w:rPr>
          <w:b/>
          <w:bCs/>
          <w:i/>
          <w:sz w:val="24"/>
          <w:szCs w:val="24"/>
          <w:lang w:val="kk-KZ"/>
        </w:rPr>
      </w:pPr>
      <w:r w:rsidRPr="00580A44">
        <w:rPr>
          <w:i/>
          <w:sz w:val="24"/>
          <w:szCs w:val="24"/>
          <w:lang w:val="kk-KZ"/>
        </w:rPr>
        <w:t xml:space="preserve">Активті комплекстің энергиялық тосқауылдан өту жылдамдығы. </w:t>
      </w:r>
    </w:p>
    <w:p w:rsidR="00580A44" w:rsidRPr="00580A44" w:rsidRDefault="00580A44" w:rsidP="00580A44">
      <w:pPr>
        <w:pStyle w:val="a3"/>
        <w:ind w:firstLine="425"/>
        <w:rPr>
          <w:b/>
          <w:bCs/>
          <w:sz w:val="24"/>
          <w:szCs w:val="24"/>
          <w:lang w:val="kk-KZ"/>
        </w:rPr>
      </w:pPr>
      <w:r w:rsidRPr="00580A44">
        <w:rPr>
          <w:sz w:val="24"/>
          <w:szCs w:val="24"/>
          <w:lang w:val="kk-KZ"/>
        </w:rPr>
        <w:t xml:space="preserve">Активті комплекс теориясы бойынша </w:t>
      </w:r>
      <w:r w:rsidRPr="00580A44">
        <w:rPr>
          <w:position w:val="-28"/>
          <w:sz w:val="24"/>
          <w:szCs w:val="24"/>
        </w:rPr>
        <w:object w:dxaOrig="1560" w:dyaOrig="720">
          <v:shape id="_x0000_i1036" type="#_x0000_t75" style="width:78.05pt;height:36.3pt" o:ole="">
            <v:imagedata r:id="rId27" o:title=""/>
          </v:shape>
          <o:OLEObject Type="Embed" ProgID="Equation.DSMT4" ShapeID="_x0000_i1036" DrawAspect="Content" ObjectID="_1630672726" r:id="rId28"/>
        </w:object>
      </w:r>
      <w:r w:rsidRPr="00580A44">
        <w:rPr>
          <w:sz w:val="24"/>
          <w:szCs w:val="24"/>
          <w:lang w:val="kk-KZ"/>
        </w:rPr>
        <w:t>=</w:t>
      </w:r>
      <w:r w:rsidRPr="00580A44">
        <w:rPr>
          <w:position w:val="-36"/>
          <w:sz w:val="24"/>
          <w:szCs w:val="24"/>
        </w:rPr>
        <w:object w:dxaOrig="1560" w:dyaOrig="960">
          <v:shape id="_x0000_i1037" type="#_x0000_t75" style="width:79.25pt;height:47.8pt" o:ole="">
            <v:imagedata r:id="rId29" o:title=""/>
          </v:shape>
          <o:OLEObject Type="Embed" ProgID="Equation.DSMT4" ShapeID="_x0000_i1037" DrawAspect="Content" ObjectID="_1630672727" r:id="rId30"/>
        </w:object>
      </w:r>
      <w:r w:rsidRPr="00580A44">
        <w:rPr>
          <w:sz w:val="24"/>
          <w:szCs w:val="24"/>
          <w:lang w:val="kk-KZ"/>
        </w:rPr>
        <w:t xml:space="preserve"> немесе </w:t>
      </w:r>
      <w:r w:rsidRPr="00580A44">
        <w:rPr>
          <w:position w:val="-24"/>
          <w:sz w:val="24"/>
          <w:szCs w:val="24"/>
        </w:rPr>
        <w:object w:dxaOrig="2380" w:dyaOrig="620">
          <v:shape id="_x0000_i1038" type="#_x0000_t75" style="width:118.6pt;height:30.85pt" o:ole="">
            <v:imagedata r:id="rId31" o:title=""/>
          </v:shape>
          <o:OLEObject Type="Embed" ProgID="Equation.3" ShapeID="_x0000_i1038" DrawAspect="Content" ObjectID="_1630672728" r:id="rId32"/>
        </w:object>
      </w:r>
      <w:r w:rsidRPr="00580A44">
        <w:rPr>
          <w:sz w:val="24"/>
          <w:szCs w:val="24"/>
          <w:lang w:val="kk-KZ"/>
        </w:rPr>
        <w:t>, бұл теңдеу реакция жылдамдығының теңдеуі.</w:t>
      </w:r>
    </w:p>
    <w:p w:rsidR="00580A44" w:rsidRPr="00580A44" w:rsidRDefault="00580A44" w:rsidP="00580A44">
      <w:pPr>
        <w:pStyle w:val="a3"/>
        <w:ind w:firstLine="425"/>
        <w:rPr>
          <w:b/>
          <w:bCs/>
          <w:sz w:val="24"/>
          <w:szCs w:val="24"/>
          <w:lang w:val="kk-KZ"/>
        </w:rPr>
      </w:pPr>
      <w:r w:rsidRPr="00580A44">
        <w:rPr>
          <w:sz w:val="24"/>
          <w:szCs w:val="24"/>
          <w:lang w:val="kk-KZ"/>
        </w:rPr>
        <w:t xml:space="preserve">Егер активті комплекстің концентрациясы бірге тең, яғни </w:t>
      </w:r>
      <w:r w:rsidRPr="00580A44">
        <w:rPr>
          <w:position w:val="-10"/>
          <w:sz w:val="24"/>
          <w:szCs w:val="24"/>
        </w:rPr>
        <w:object w:dxaOrig="600" w:dyaOrig="360">
          <v:shape id="_x0000_i1039" type="#_x0000_t75" style="width:30.25pt;height:19.35pt" o:ole="">
            <v:imagedata r:id="rId33" o:title=""/>
          </v:shape>
          <o:OLEObject Type="Embed" ProgID="Equation.3" ShapeID="_x0000_i1039" DrawAspect="Content" ObjectID="_1630672729" r:id="rId34"/>
        </w:object>
      </w:r>
      <w:r w:rsidRPr="00580A44">
        <w:rPr>
          <w:sz w:val="24"/>
          <w:szCs w:val="24"/>
          <w:lang w:val="kk-KZ"/>
        </w:rPr>
        <w:t xml:space="preserve">=1 болса, онда реакцияның жылдамдығы </w:t>
      </w:r>
      <w:r w:rsidRPr="00580A44">
        <w:rPr>
          <w:position w:val="-28"/>
          <w:sz w:val="24"/>
          <w:szCs w:val="24"/>
        </w:rPr>
        <w:object w:dxaOrig="540" w:dyaOrig="720">
          <v:shape id="_x0000_i1040" type="#_x0000_t75" style="width:26.6pt;height:36.3pt" o:ole="">
            <v:imagedata r:id="rId35" o:title=""/>
          </v:shape>
          <o:OLEObject Type="Embed" ProgID="Equation.DSMT4" ShapeID="_x0000_i1040" DrawAspect="Content" ObjectID="_1630672730" r:id="rId36"/>
        </w:object>
      </w:r>
      <w:r w:rsidRPr="00580A44">
        <w:rPr>
          <w:sz w:val="24"/>
          <w:szCs w:val="24"/>
          <w:lang w:val="kk-KZ"/>
        </w:rPr>
        <w:t xml:space="preserve">-қа тең. Бұл шама активті комплекстің энергиялық тосқауылдан өтуінің эффективті жылдамдығы деп аталады. </w:t>
      </w:r>
      <w:r w:rsidRPr="00580A44">
        <w:rPr>
          <w:position w:val="-24"/>
          <w:sz w:val="24"/>
          <w:szCs w:val="24"/>
        </w:rPr>
        <w:object w:dxaOrig="380" w:dyaOrig="620">
          <v:shape id="_x0000_i1041" type="#_x0000_t75" style="width:19.35pt;height:30.85pt" o:ole="">
            <v:imagedata r:id="rId37" o:title=""/>
          </v:shape>
          <o:OLEObject Type="Embed" ProgID="Equation.3" ShapeID="_x0000_i1041" DrawAspect="Content" ObjectID="_1630672731" r:id="rId38"/>
        </w:object>
      </w:r>
      <w:r w:rsidRPr="00580A44">
        <w:rPr>
          <w:sz w:val="24"/>
          <w:szCs w:val="24"/>
          <w:lang w:val="kk-KZ"/>
        </w:rPr>
        <w:t xml:space="preserve"> - шамасы кез келген реакция үшін универсалды, өлшемі жиіліктің өлшеміндей: (Дж</w:t>
      </w:r>
      <w:r w:rsidRPr="00580A44">
        <w:rPr>
          <w:sz w:val="24"/>
          <w:szCs w:val="24"/>
          <w:vertAlign w:val="superscript"/>
          <w:lang w:val="kk-KZ"/>
        </w:rPr>
        <w:t>.</w:t>
      </w:r>
      <w:r w:rsidRPr="00580A44">
        <w:rPr>
          <w:sz w:val="24"/>
          <w:szCs w:val="24"/>
          <w:lang w:val="kk-KZ"/>
        </w:rPr>
        <w:t>К)/( Дж</w:t>
      </w:r>
      <w:r w:rsidRPr="00580A44">
        <w:rPr>
          <w:sz w:val="24"/>
          <w:szCs w:val="24"/>
          <w:vertAlign w:val="superscript"/>
          <w:lang w:val="kk-KZ"/>
        </w:rPr>
        <w:t>.</w:t>
      </w:r>
      <w:r w:rsidRPr="00580A44">
        <w:rPr>
          <w:sz w:val="24"/>
          <w:szCs w:val="24"/>
          <w:lang w:val="kk-KZ"/>
        </w:rPr>
        <w:t>К</w:t>
      </w:r>
      <w:r w:rsidRPr="00580A44">
        <w:rPr>
          <w:sz w:val="24"/>
          <w:szCs w:val="24"/>
          <w:vertAlign w:val="superscript"/>
          <w:lang w:val="kk-KZ"/>
        </w:rPr>
        <w:t>.</w:t>
      </w:r>
      <w:r w:rsidRPr="00580A44">
        <w:rPr>
          <w:sz w:val="24"/>
          <w:szCs w:val="24"/>
          <w:lang w:val="kk-KZ"/>
        </w:rPr>
        <w:t>с) = с</w:t>
      </w:r>
      <w:r w:rsidRPr="00580A44">
        <w:rPr>
          <w:sz w:val="24"/>
          <w:szCs w:val="24"/>
          <w:vertAlign w:val="superscript"/>
          <w:lang w:val="kk-KZ"/>
        </w:rPr>
        <w:t>-1</w:t>
      </w:r>
      <w:r w:rsidRPr="00580A44">
        <w:rPr>
          <w:sz w:val="24"/>
          <w:szCs w:val="24"/>
          <w:lang w:val="kk-KZ"/>
        </w:rPr>
        <w:t xml:space="preserve">, және тек температураға тәуелді. </w:t>
      </w:r>
    </w:p>
    <w:p w:rsidR="00580A44" w:rsidRDefault="00580A44" w:rsidP="00580A44">
      <w:pPr>
        <w:pStyle w:val="a3"/>
        <w:ind w:firstLine="425"/>
        <w:jc w:val="left"/>
        <w:rPr>
          <w:bCs/>
          <w:sz w:val="28"/>
          <w:szCs w:val="28"/>
          <w:lang w:val="kk-KZ"/>
        </w:rPr>
      </w:pPr>
    </w:p>
    <w:p w:rsidR="00580A44" w:rsidRPr="00BD7330" w:rsidRDefault="00580A44" w:rsidP="00580A44">
      <w:pPr>
        <w:pStyle w:val="a5"/>
        <w:jc w:val="center"/>
        <w:rPr>
          <w:rFonts w:ascii="Times New Roman" w:hAnsi="Times New Roman" w:cs="Times New Roman"/>
          <w:b/>
          <w:sz w:val="24"/>
          <w:szCs w:val="24"/>
        </w:rPr>
      </w:pPr>
      <w:r w:rsidRPr="00BD7330">
        <w:rPr>
          <w:rFonts w:ascii="Times New Roman" w:hAnsi="Times New Roman" w:cs="Times New Roman"/>
          <w:b/>
          <w:sz w:val="24"/>
          <w:szCs w:val="24"/>
          <w:lang w:val="kk-KZ"/>
        </w:rPr>
        <w:t>Әдебиеттер</w:t>
      </w:r>
    </w:p>
    <w:p w:rsidR="00580A44" w:rsidRPr="00BD7330" w:rsidRDefault="00580A44" w:rsidP="00580A44">
      <w:pPr>
        <w:pStyle w:val="a5"/>
        <w:numPr>
          <w:ilvl w:val="0"/>
          <w:numId w:val="3"/>
        </w:numPr>
        <w:spacing w:after="0" w:line="240" w:lineRule="auto"/>
        <w:ind w:left="0" w:firstLine="425"/>
        <w:jc w:val="both"/>
        <w:rPr>
          <w:rFonts w:ascii="Times New Roman" w:hAnsi="Times New Roman" w:cs="Times New Roman"/>
          <w:sz w:val="24"/>
          <w:szCs w:val="24"/>
        </w:rPr>
      </w:pPr>
      <w:r w:rsidRPr="00BD7330">
        <w:rPr>
          <w:rFonts w:ascii="Times New Roman" w:hAnsi="Times New Roman" w:cs="Times New Roman"/>
          <w:sz w:val="24"/>
          <w:szCs w:val="24"/>
        </w:rPr>
        <w:t xml:space="preserve">Практическая химическая кинетика. Под ред. М.Я.Мельникова. Изд-во МГУ </w:t>
      </w:r>
      <w:proofErr w:type="spellStart"/>
      <w:r w:rsidRPr="00BD7330">
        <w:rPr>
          <w:rFonts w:ascii="Times New Roman" w:hAnsi="Times New Roman" w:cs="Times New Roman"/>
          <w:sz w:val="24"/>
          <w:szCs w:val="24"/>
        </w:rPr>
        <w:t>им.М.В.Ломоносова</w:t>
      </w:r>
      <w:proofErr w:type="spellEnd"/>
      <w:r w:rsidRPr="00BD7330">
        <w:rPr>
          <w:rFonts w:ascii="Times New Roman" w:hAnsi="Times New Roman" w:cs="Times New Roman"/>
          <w:sz w:val="24"/>
          <w:szCs w:val="24"/>
        </w:rPr>
        <w:t xml:space="preserve"> и </w:t>
      </w:r>
      <w:proofErr w:type="spellStart"/>
      <w:r w:rsidRPr="00BD7330">
        <w:rPr>
          <w:rFonts w:ascii="Times New Roman" w:hAnsi="Times New Roman" w:cs="Times New Roman"/>
          <w:sz w:val="24"/>
          <w:szCs w:val="24"/>
        </w:rPr>
        <w:t>С.-Петербургского</w:t>
      </w:r>
      <w:proofErr w:type="spellEnd"/>
      <w:r w:rsidRPr="00BD7330">
        <w:rPr>
          <w:rFonts w:ascii="Times New Roman" w:hAnsi="Times New Roman" w:cs="Times New Roman"/>
          <w:sz w:val="24"/>
          <w:szCs w:val="24"/>
        </w:rPr>
        <w:t xml:space="preserve"> университета, 2006. – 590 с.</w:t>
      </w:r>
    </w:p>
    <w:p w:rsidR="00580A44" w:rsidRPr="00BD7330" w:rsidRDefault="00580A44" w:rsidP="00580A44">
      <w:pPr>
        <w:pStyle w:val="a5"/>
        <w:numPr>
          <w:ilvl w:val="0"/>
          <w:numId w:val="3"/>
        </w:numPr>
        <w:spacing w:after="0" w:line="240" w:lineRule="auto"/>
        <w:ind w:left="0" w:firstLine="425"/>
        <w:jc w:val="both"/>
        <w:rPr>
          <w:rFonts w:ascii="Times New Roman" w:hAnsi="Times New Roman" w:cs="Times New Roman"/>
          <w:sz w:val="24"/>
          <w:szCs w:val="24"/>
        </w:rPr>
      </w:pPr>
      <w:proofErr w:type="spellStart"/>
      <w:r w:rsidRPr="00BD7330">
        <w:rPr>
          <w:rFonts w:ascii="Times New Roman" w:hAnsi="Times New Roman" w:cs="Times New Roman"/>
          <w:sz w:val="24"/>
          <w:szCs w:val="24"/>
        </w:rPr>
        <w:t>Стромберг</w:t>
      </w:r>
      <w:proofErr w:type="spellEnd"/>
      <w:r w:rsidRPr="00BD7330">
        <w:rPr>
          <w:rFonts w:ascii="Times New Roman" w:hAnsi="Times New Roman" w:cs="Times New Roman"/>
          <w:sz w:val="24"/>
          <w:szCs w:val="24"/>
        </w:rPr>
        <w:t xml:space="preserve"> А.Г., Семченко Д.П. Физическая химия. М.: «Высшая школа», 2003. - 527 с.</w:t>
      </w:r>
    </w:p>
    <w:p w:rsidR="00580A44" w:rsidRPr="00BD7330" w:rsidRDefault="00580A44" w:rsidP="00580A44">
      <w:pPr>
        <w:pStyle w:val="a5"/>
        <w:numPr>
          <w:ilvl w:val="0"/>
          <w:numId w:val="3"/>
        </w:numPr>
        <w:spacing w:after="0" w:line="240" w:lineRule="auto"/>
        <w:ind w:left="0" w:firstLine="425"/>
        <w:jc w:val="both"/>
        <w:rPr>
          <w:rFonts w:ascii="Times New Roman" w:hAnsi="Times New Roman" w:cs="Times New Roman"/>
          <w:sz w:val="24"/>
          <w:szCs w:val="24"/>
        </w:rPr>
      </w:pPr>
      <w:proofErr w:type="spellStart"/>
      <w:r w:rsidRPr="00BD7330">
        <w:rPr>
          <w:rFonts w:ascii="Times New Roman" w:hAnsi="Times New Roman" w:cs="Times New Roman"/>
          <w:sz w:val="24"/>
          <w:szCs w:val="24"/>
        </w:rPr>
        <w:t>Семиохин</w:t>
      </w:r>
      <w:proofErr w:type="spellEnd"/>
      <w:r w:rsidRPr="00BD7330">
        <w:rPr>
          <w:rFonts w:ascii="Times New Roman" w:hAnsi="Times New Roman" w:cs="Times New Roman"/>
          <w:sz w:val="24"/>
          <w:szCs w:val="24"/>
        </w:rPr>
        <w:t xml:space="preserve"> И.А., Страхов Б.В., Осипов А.И. Кинетика химических реакций. М.: Изд-во МГУ им.М.В.Ломоносова,1995. – 351 с.</w:t>
      </w:r>
    </w:p>
    <w:p w:rsidR="00580A44" w:rsidRPr="00BD7330" w:rsidRDefault="00580A44" w:rsidP="00580A44">
      <w:pPr>
        <w:pStyle w:val="a5"/>
        <w:numPr>
          <w:ilvl w:val="0"/>
          <w:numId w:val="3"/>
        </w:numPr>
        <w:spacing w:after="0" w:line="240" w:lineRule="auto"/>
        <w:ind w:left="0" w:firstLine="425"/>
        <w:jc w:val="both"/>
        <w:rPr>
          <w:rFonts w:ascii="Times New Roman" w:hAnsi="Times New Roman" w:cs="Times New Roman"/>
          <w:sz w:val="24"/>
          <w:szCs w:val="24"/>
        </w:rPr>
      </w:pPr>
      <w:proofErr w:type="spellStart"/>
      <w:r w:rsidRPr="00BD7330">
        <w:rPr>
          <w:rFonts w:ascii="Times New Roman" w:hAnsi="Times New Roman" w:cs="Times New Roman"/>
          <w:sz w:val="24"/>
          <w:szCs w:val="24"/>
        </w:rPr>
        <w:lastRenderedPageBreak/>
        <w:t>Семиохин</w:t>
      </w:r>
      <w:proofErr w:type="spellEnd"/>
      <w:r w:rsidRPr="00BD7330">
        <w:rPr>
          <w:rFonts w:ascii="Times New Roman" w:hAnsi="Times New Roman" w:cs="Times New Roman"/>
          <w:sz w:val="24"/>
          <w:szCs w:val="24"/>
        </w:rPr>
        <w:t xml:space="preserve"> И.А. Сборник задач по химической кинетике. М.: Изд-во МГУ </w:t>
      </w:r>
      <w:proofErr w:type="spellStart"/>
      <w:r w:rsidRPr="00BD7330">
        <w:rPr>
          <w:rFonts w:ascii="Times New Roman" w:hAnsi="Times New Roman" w:cs="Times New Roman"/>
          <w:sz w:val="24"/>
          <w:szCs w:val="24"/>
        </w:rPr>
        <w:t>им.М.В.Ломоносова</w:t>
      </w:r>
      <w:proofErr w:type="spellEnd"/>
      <w:r w:rsidRPr="00BD7330">
        <w:rPr>
          <w:rFonts w:ascii="Times New Roman" w:hAnsi="Times New Roman" w:cs="Times New Roman"/>
          <w:sz w:val="24"/>
          <w:szCs w:val="24"/>
        </w:rPr>
        <w:t>, 2005. – 89 с.</w:t>
      </w:r>
    </w:p>
    <w:p w:rsidR="00580A44" w:rsidRPr="00580A44" w:rsidRDefault="00580A44" w:rsidP="00580A44">
      <w:pPr>
        <w:pStyle w:val="a3"/>
        <w:ind w:firstLine="425"/>
        <w:jc w:val="left"/>
        <w:rPr>
          <w:bCs/>
          <w:sz w:val="28"/>
          <w:szCs w:val="28"/>
        </w:rPr>
      </w:pPr>
    </w:p>
    <w:sectPr w:rsidR="00580A44" w:rsidRPr="00580A44" w:rsidSect="006F42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0BEA"/>
    <w:multiLevelType w:val="hybridMultilevel"/>
    <w:tmpl w:val="DA44F26A"/>
    <w:lvl w:ilvl="0" w:tplc="3BEEA70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24D253B4"/>
    <w:multiLevelType w:val="multilevel"/>
    <w:tmpl w:val="23B4F2C4"/>
    <w:lvl w:ilvl="0">
      <w:start w:val="1"/>
      <w:numFmt w:val="decimal"/>
      <w:lvlText w:val="%1."/>
      <w:lvlJc w:val="left"/>
      <w:pPr>
        <w:ind w:left="700" w:hanging="360"/>
      </w:pPr>
      <w:rPr>
        <w:rFonts w:hint="default"/>
      </w:rPr>
    </w:lvl>
    <w:lvl w:ilvl="1">
      <w:start w:val="2"/>
      <w:numFmt w:val="decimal"/>
      <w:isLgl/>
      <w:lvlText w:val="%1.%2"/>
      <w:lvlJc w:val="left"/>
      <w:pPr>
        <w:ind w:left="1002" w:hanging="620"/>
      </w:pPr>
      <w:rPr>
        <w:rFonts w:hint="default"/>
      </w:rPr>
    </w:lvl>
    <w:lvl w:ilvl="2">
      <w:start w:val="1"/>
      <w:numFmt w:val="decimal"/>
      <w:isLgl/>
      <w:lvlText w:val="%1.%2.%3"/>
      <w:lvlJc w:val="left"/>
      <w:pPr>
        <w:ind w:left="1144" w:hanging="720"/>
      </w:pPr>
      <w:rPr>
        <w:rFonts w:hint="default"/>
      </w:rPr>
    </w:lvl>
    <w:lvl w:ilvl="3">
      <w:start w:val="1"/>
      <w:numFmt w:val="decimal"/>
      <w:isLgl/>
      <w:lvlText w:val="%1.%2.%3.%4"/>
      <w:lvlJc w:val="left"/>
      <w:pPr>
        <w:ind w:left="1546" w:hanging="108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990" w:hanging="1440"/>
      </w:pPr>
      <w:rPr>
        <w:rFonts w:hint="default"/>
      </w:rPr>
    </w:lvl>
    <w:lvl w:ilvl="6">
      <w:start w:val="1"/>
      <w:numFmt w:val="decimal"/>
      <w:isLgl/>
      <w:lvlText w:val="%1.%2.%3.%4.%5.%6.%7"/>
      <w:lvlJc w:val="left"/>
      <w:pPr>
        <w:ind w:left="2032" w:hanging="1440"/>
      </w:pPr>
      <w:rPr>
        <w:rFonts w:hint="default"/>
      </w:rPr>
    </w:lvl>
    <w:lvl w:ilvl="7">
      <w:start w:val="1"/>
      <w:numFmt w:val="decimal"/>
      <w:isLgl/>
      <w:lvlText w:val="%1.%2.%3.%4.%5.%6.%7.%8"/>
      <w:lvlJc w:val="left"/>
      <w:pPr>
        <w:ind w:left="2434" w:hanging="1800"/>
      </w:pPr>
      <w:rPr>
        <w:rFonts w:hint="default"/>
      </w:rPr>
    </w:lvl>
    <w:lvl w:ilvl="8">
      <w:start w:val="1"/>
      <w:numFmt w:val="decimal"/>
      <w:isLgl/>
      <w:lvlText w:val="%1.%2.%3.%4.%5.%6.%7.%8.%9"/>
      <w:lvlJc w:val="left"/>
      <w:pPr>
        <w:ind w:left="2836" w:hanging="2160"/>
      </w:pPr>
      <w:rPr>
        <w:rFonts w:hint="default"/>
      </w:rPr>
    </w:lvl>
  </w:abstractNum>
  <w:abstractNum w:abstractNumId="2">
    <w:nsid w:val="7980066A"/>
    <w:multiLevelType w:val="hybridMultilevel"/>
    <w:tmpl w:val="0E2C1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FD3330"/>
    <w:rsid w:val="00580A44"/>
    <w:rsid w:val="006F4212"/>
    <w:rsid w:val="00B34144"/>
    <w:rsid w:val="00D83CF4"/>
    <w:rsid w:val="00FD3330"/>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3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80A44"/>
    <w:pPr>
      <w:autoSpaceDE w:val="0"/>
      <w:autoSpaceDN w:val="0"/>
      <w:jc w:val="both"/>
    </w:pPr>
    <w:rPr>
      <w:rFonts w:eastAsiaTheme="minorEastAsia"/>
      <w:sz w:val="22"/>
      <w:szCs w:val="22"/>
    </w:rPr>
  </w:style>
  <w:style w:type="character" w:customStyle="1" w:styleId="a4">
    <w:name w:val="Основной текст Знак"/>
    <w:basedOn w:val="a0"/>
    <w:link w:val="a3"/>
    <w:rsid w:val="00580A44"/>
    <w:rPr>
      <w:rFonts w:ascii="Times New Roman" w:eastAsiaTheme="minorEastAsia" w:hAnsi="Times New Roman" w:cs="Times New Roman"/>
      <w:lang w:eastAsia="ru-RU"/>
    </w:rPr>
  </w:style>
  <w:style w:type="paragraph" w:styleId="a5">
    <w:name w:val="List Paragraph"/>
    <w:basedOn w:val="a"/>
    <w:uiPriority w:val="34"/>
    <w:qFormat/>
    <w:rsid w:val="00580A44"/>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ody Text Indent"/>
    <w:basedOn w:val="a"/>
    <w:link w:val="a7"/>
    <w:rsid w:val="00580A44"/>
    <w:pPr>
      <w:ind w:left="360"/>
      <w:jc w:val="both"/>
    </w:pPr>
    <w:rPr>
      <w:sz w:val="28"/>
      <w:szCs w:val="20"/>
    </w:rPr>
  </w:style>
  <w:style w:type="character" w:customStyle="1" w:styleId="a7">
    <w:name w:val="Основной текст с отступом Знак"/>
    <w:basedOn w:val="a0"/>
    <w:link w:val="a6"/>
    <w:rsid w:val="00580A44"/>
    <w:rPr>
      <w:rFonts w:ascii="Times New Roman" w:eastAsia="Times New Roman" w:hAnsi="Times New Roman" w:cs="Times New Roman"/>
      <w:sz w:val="28"/>
      <w:szCs w:val="20"/>
      <w:lang w:eastAsia="ru-RU"/>
    </w:rPr>
  </w:style>
  <w:style w:type="paragraph" w:styleId="HTML">
    <w:name w:val="HTML Preformatted"/>
    <w:basedOn w:val="a"/>
    <w:link w:val="HTML0"/>
    <w:uiPriority w:val="99"/>
    <w:unhideWhenUsed/>
    <w:rsid w:val="00B34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uiPriority w:val="99"/>
    <w:rsid w:val="00B34144"/>
    <w:rPr>
      <w:rFonts w:ascii="Courier New" w:eastAsia="Times New Roman" w:hAnsi="Courier New" w:cs="Courier New"/>
      <w:sz w:val="20"/>
      <w:szCs w:val="20"/>
      <w:lang w:eastAsia="ko-KR"/>
    </w:rPr>
  </w:style>
  <w:style w:type="paragraph" w:styleId="a8">
    <w:name w:val="No Spacing"/>
    <w:uiPriority w:val="1"/>
    <w:qFormat/>
    <w:rsid w:val="00B3414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1571741">
      <w:bodyDiv w:val="1"/>
      <w:marLeft w:val="0"/>
      <w:marRight w:val="0"/>
      <w:marTop w:val="0"/>
      <w:marBottom w:val="0"/>
      <w:divBdr>
        <w:top w:val="none" w:sz="0" w:space="0" w:color="auto"/>
        <w:left w:val="none" w:sz="0" w:space="0" w:color="auto"/>
        <w:bottom w:val="none" w:sz="0" w:space="0" w:color="auto"/>
        <w:right w:val="none" w:sz="0" w:space="0" w:color="auto"/>
      </w:divBdr>
    </w:div>
    <w:div w:id="115422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767</Words>
  <Characters>4376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Аля Капановна</dc:creator>
  <cp:keywords/>
  <dc:description/>
  <cp:lastModifiedBy>123</cp:lastModifiedBy>
  <cp:revision>4</cp:revision>
  <dcterms:created xsi:type="dcterms:W3CDTF">2019-09-12T12:08:00Z</dcterms:created>
  <dcterms:modified xsi:type="dcterms:W3CDTF">2019-09-22T09:52:00Z</dcterms:modified>
</cp:coreProperties>
</file>